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81" w:line="320" w:lineRule="exact"/>
        <w:jc w:val="center"/>
        <w:textAlignment w:val="baseline"/>
        <w:rPr>
          <w:rFonts w:ascii="Times New Roman" w:hAnsi="Times New Roman" w:eastAsia="方正黑体_GBK"/>
          <w:snapToGrid w:val="0"/>
          <w:color w:val="000000"/>
          <w:kern w:val="0"/>
          <w:sz w:val="32"/>
          <w:szCs w:val="32"/>
        </w:rPr>
      </w:pPr>
      <w:r>
        <w:rPr>
          <w:rFonts w:ascii="Times New Roman" w:hAnsi="Times New Roman" w:eastAsia="方正黑体_GBK"/>
          <w:snapToGrid w:val="0"/>
          <w:color w:val="000000"/>
          <w:spacing w:val="4"/>
          <w:kern w:val="0"/>
          <w:sz w:val="32"/>
          <w:szCs w:val="32"/>
        </w:rPr>
        <w:t>附</w:t>
      </w:r>
      <w:r>
        <w:rPr>
          <w:rFonts w:hint="eastAsia" w:ascii="Times New Roman" w:hAnsi="Times New Roman" w:eastAsia="方正黑体_GBK"/>
          <w:snapToGrid w:val="0"/>
          <w:color w:val="000000"/>
          <w:spacing w:val="4"/>
          <w:kern w:val="0"/>
          <w:sz w:val="32"/>
          <w:szCs w:val="32"/>
        </w:rPr>
        <w:t xml:space="preserve"> </w:t>
      </w:r>
      <w:r>
        <w:rPr>
          <w:rFonts w:ascii="Times New Roman" w:hAnsi="Times New Roman" w:eastAsia="方正黑体_GBK"/>
          <w:snapToGrid w:val="0"/>
          <w:color w:val="000000"/>
          <w:spacing w:val="2"/>
          <w:kern w:val="0"/>
          <w:sz w:val="32"/>
          <w:szCs w:val="32"/>
        </w:rPr>
        <w:t>录</w:t>
      </w:r>
      <w:r>
        <w:rPr>
          <w:rFonts w:hint="eastAsia" w:ascii="Times New Roman" w:hAnsi="Times New Roman" w:eastAsia="方正黑体_GBK"/>
          <w:snapToGrid w:val="0"/>
          <w:color w:val="000000"/>
          <w:spacing w:val="2"/>
          <w:kern w:val="0"/>
          <w:sz w:val="32"/>
          <w:szCs w:val="32"/>
        </w:rPr>
        <w:t xml:space="preserve"> </w:t>
      </w:r>
      <w:r>
        <w:rPr>
          <w:rFonts w:ascii="Times New Roman" w:hAnsi="Times New Roman" w:eastAsia="方正黑体_GBK"/>
          <w:snapToGrid w:val="0"/>
          <w:color w:val="000000"/>
          <w:spacing w:val="2"/>
          <w:kern w:val="0"/>
          <w:sz w:val="32"/>
          <w:szCs w:val="32"/>
        </w:rPr>
        <w:t>A</w:t>
      </w:r>
    </w:p>
    <w:p>
      <w:pPr>
        <w:widowControl/>
        <w:tabs>
          <w:tab w:val="left" w:pos="6639"/>
        </w:tabs>
        <w:kinsoku w:val="0"/>
        <w:autoSpaceDE w:val="0"/>
        <w:autoSpaceDN w:val="0"/>
        <w:adjustRightInd w:val="0"/>
        <w:snapToGrid w:val="0"/>
        <w:spacing w:line="320" w:lineRule="exact"/>
        <w:jc w:val="center"/>
        <w:textAlignment w:val="baseline"/>
        <w:rPr>
          <w:rFonts w:ascii="Times New Roman" w:hAnsi="Times New Roman" w:eastAsia="微软雅黑"/>
          <w:snapToGrid w:val="0"/>
          <w:color w:val="000000"/>
          <w:kern w:val="0"/>
          <w:sz w:val="19"/>
          <w:szCs w:val="19"/>
        </w:rPr>
      </w:pPr>
      <w:r>
        <w:rPr>
          <w:rFonts w:ascii="Times New Roman" w:hAnsi="Times New Roman" w:eastAsia="微软雅黑"/>
          <w:snapToGrid w:val="0"/>
          <w:color w:val="000000"/>
          <w:spacing w:val="42"/>
          <w:kern w:val="0"/>
          <w:sz w:val="19"/>
          <w:szCs w:val="19"/>
        </w:rPr>
        <w:t>(</w:t>
      </w:r>
      <w:r>
        <w:rPr>
          <w:rFonts w:ascii="Times New Roman" w:hAnsi="Times New Roman" w:eastAsia="微软雅黑"/>
          <w:snapToGrid w:val="0"/>
          <w:color w:val="000000"/>
          <w:spacing w:val="41"/>
          <w:kern w:val="0"/>
          <w:sz w:val="19"/>
          <w:szCs w:val="19"/>
        </w:rPr>
        <w:t>规范性)</w:t>
      </w:r>
    </w:p>
    <w:p>
      <w:pPr>
        <w:widowControl/>
        <w:kinsoku w:val="0"/>
        <w:autoSpaceDE w:val="0"/>
        <w:autoSpaceDN w:val="0"/>
        <w:adjustRightInd w:val="0"/>
        <w:snapToGrid w:val="0"/>
        <w:spacing w:before="78" w:line="320" w:lineRule="exact"/>
        <w:jc w:val="center"/>
        <w:textAlignment w:val="baseline"/>
        <w:rPr>
          <w:rFonts w:ascii="Times New Roman" w:hAnsi="Times New Roman" w:eastAsia="微软雅黑"/>
          <w:snapToGrid w:val="0"/>
          <w:color w:val="000000"/>
          <w:kern w:val="0"/>
          <w:sz w:val="19"/>
          <w:szCs w:val="19"/>
        </w:rPr>
      </w:pPr>
      <w:r>
        <w:rPr>
          <w:rFonts w:ascii="Times New Roman" w:hAnsi="Times New Roman" w:eastAsia="微软雅黑"/>
          <w:snapToGrid w:val="0"/>
          <w:color w:val="000000"/>
          <w:spacing w:val="18"/>
          <w:kern w:val="0"/>
          <w:sz w:val="19"/>
          <w:szCs w:val="19"/>
        </w:rPr>
        <w:t>劳务派遣单位信用等级评价指</w:t>
      </w:r>
      <w:r>
        <w:rPr>
          <w:rFonts w:ascii="Times New Roman" w:hAnsi="Times New Roman" w:eastAsia="微软雅黑"/>
          <w:snapToGrid w:val="0"/>
          <w:color w:val="000000"/>
          <w:spacing w:val="15"/>
          <w:kern w:val="0"/>
          <w:sz w:val="19"/>
          <w:szCs w:val="19"/>
        </w:rPr>
        <w:t>标</w:t>
      </w:r>
    </w:p>
    <w:p>
      <w:pPr>
        <w:widowControl/>
        <w:kinsoku w:val="0"/>
        <w:autoSpaceDE w:val="0"/>
        <w:autoSpaceDN w:val="0"/>
        <w:adjustRightInd w:val="0"/>
        <w:snapToGrid w:val="0"/>
        <w:jc w:val="left"/>
        <w:textAlignment w:val="baseline"/>
        <w:rPr>
          <w:rFonts w:ascii="Times New Roman" w:hAnsi="Times New Roman" w:eastAsia="微软雅黑"/>
          <w:snapToGrid w:val="0"/>
          <w:color w:val="000000"/>
          <w:kern w:val="0"/>
          <w:sz w:val="19"/>
          <w:szCs w:val="19"/>
        </w:rPr>
      </w:pPr>
      <w:r>
        <w:rPr>
          <w:rFonts w:ascii="Times New Roman" w:hAnsi="Times New Roman" w:eastAsia="微软雅黑"/>
          <w:snapToGrid w:val="0"/>
          <w:color w:val="000000"/>
          <w:spacing w:val="19"/>
          <w:kern w:val="0"/>
          <w:sz w:val="19"/>
          <w:szCs w:val="19"/>
        </w:rPr>
        <w:t>劳务派遣单位信用等级评价指标见表 A.1。</w:t>
      </w:r>
    </w:p>
    <w:p>
      <w:pPr>
        <w:widowControl/>
        <w:kinsoku w:val="0"/>
        <w:autoSpaceDE w:val="0"/>
        <w:autoSpaceDN w:val="0"/>
        <w:adjustRightInd w:val="0"/>
        <w:snapToGrid w:val="0"/>
        <w:spacing w:before="226"/>
        <w:ind w:left="5178"/>
        <w:jc w:val="left"/>
        <w:textAlignment w:val="baseline"/>
        <w:rPr>
          <w:rFonts w:ascii="Times New Roman" w:hAnsi="Times New Roman" w:eastAsia="方正小标宋_GBK"/>
          <w:sz w:val="36"/>
          <w:szCs w:val="36"/>
        </w:rPr>
      </w:pPr>
      <w:r>
        <w:rPr>
          <w:rFonts w:ascii="Times New Roman" w:hAnsi="Times New Roman" w:eastAsia="微软雅黑"/>
          <w:snapToGrid w:val="0"/>
          <w:color w:val="000000"/>
          <w:spacing w:val="19"/>
          <w:kern w:val="0"/>
          <w:sz w:val="19"/>
          <w:szCs w:val="19"/>
        </w:rPr>
        <w:t>表</w:t>
      </w:r>
      <w:r>
        <w:rPr>
          <w:rFonts w:ascii="Times New Roman" w:hAnsi="Times New Roman" w:eastAsia="微软雅黑"/>
          <w:snapToGrid w:val="0"/>
          <w:color w:val="000000"/>
          <w:spacing w:val="17"/>
          <w:kern w:val="0"/>
          <w:sz w:val="19"/>
          <w:szCs w:val="19"/>
        </w:rPr>
        <w:t xml:space="preserve"> </w:t>
      </w:r>
      <w:r>
        <w:rPr>
          <w:rFonts w:ascii="Times New Roman" w:hAnsi="Times New Roman" w:eastAsia="Arial"/>
          <w:snapToGrid w:val="0"/>
          <w:color w:val="000000"/>
          <w:kern w:val="0"/>
          <w:position w:val="-1"/>
          <w:sz w:val="19"/>
          <w:szCs w:val="19"/>
        </w:rPr>
        <w:t>A</w:t>
      </w:r>
      <w:r>
        <w:rPr>
          <w:rFonts w:ascii="Times New Roman" w:hAnsi="Times New Roman" w:eastAsia="Arial"/>
          <w:snapToGrid w:val="0"/>
          <w:color w:val="000000"/>
          <w:spacing w:val="17"/>
          <w:kern w:val="0"/>
          <w:position w:val="-1"/>
          <w:sz w:val="19"/>
          <w:szCs w:val="19"/>
        </w:rPr>
        <w:t xml:space="preserve">.1   </w:t>
      </w:r>
      <w:r>
        <w:rPr>
          <w:rFonts w:ascii="Times New Roman" w:hAnsi="Times New Roman" w:eastAsia="微软雅黑"/>
          <w:snapToGrid w:val="0"/>
          <w:color w:val="000000"/>
          <w:spacing w:val="17"/>
          <w:kern w:val="0"/>
          <w:sz w:val="19"/>
          <w:szCs w:val="19"/>
        </w:rPr>
        <w:t>劳务派遣单位信用等级评价指标</w:t>
      </w:r>
    </w:p>
    <w:tbl>
      <w:tblPr>
        <w:tblStyle w:val="3"/>
        <w:tblW w:w="0" w:type="auto"/>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1648"/>
        <w:gridCol w:w="968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1146" w:type="dxa"/>
            <w:noWrap w:val="0"/>
            <w:vAlign w:val="center"/>
          </w:tcPr>
          <w:p>
            <w:pPr>
              <w:jc w:val="center"/>
              <w:rPr>
                <w:rFonts w:ascii="Times New Roman" w:hAnsi="Times New Roman" w:eastAsia="黑体"/>
                <w:kern w:val="0"/>
                <w:sz w:val="18"/>
                <w:szCs w:val="20"/>
              </w:rPr>
            </w:pPr>
            <w:r>
              <w:rPr>
                <w:rFonts w:ascii="Times New Roman" w:hAnsi="Times New Roman" w:eastAsia="黑体"/>
                <w:kern w:val="0"/>
                <w:sz w:val="18"/>
                <w:szCs w:val="20"/>
              </w:rPr>
              <w:t>一级指标</w:t>
            </w:r>
          </w:p>
        </w:tc>
        <w:tc>
          <w:tcPr>
            <w:tcW w:w="1648" w:type="dxa"/>
            <w:noWrap w:val="0"/>
            <w:vAlign w:val="center"/>
          </w:tcPr>
          <w:p>
            <w:pPr>
              <w:jc w:val="center"/>
              <w:rPr>
                <w:rFonts w:ascii="Times New Roman" w:hAnsi="Times New Roman" w:eastAsia="黑体"/>
                <w:kern w:val="0"/>
                <w:sz w:val="18"/>
                <w:szCs w:val="20"/>
              </w:rPr>
            </w:pPr>
            <w:r>
              <w:rPr>
                <w:rFonts w:ascii="Times New Roman" w:hAnsi="Times New Roman" w:eastAsia="黑体"/>
                <w:kern w:val="0"/>
                <w:sz w:val="18"/>
                <w:szCs w:val="20"/>
              </w:rPr>
              <w:t>二级指标</w:t>
            </w:r>
          </w:p>
        </w:tc>
        <w:tc>
          <w:tcPr>
            <w:tcW w:w="9687" w:type="dxa"/>
            <w:noWrap w:val="0"/>
            <w:vAlign w:val="center"/>
          </w:tcPr>
          <w:p>
            <w:pPr>
              <w:jc w:val="center"/>
              <w:rPr>
                <w:rFonts w:ascii="Times New Roman" w:hAnsi="Times New Roman" w:eastAsia="黑体"/>
                <w:kern w:val="0"/>
                <w:sz w:val="18"/>
                <w:szCs w:val="20"/>
              </w:rPr>
            </w:pPr>
            <w:r>
              <w:rPr>
                <w:rFonts w:ascii="Times New Roman" w:hAnsi="Times New Roman" w:eastAsia="黑体"/>
                <w:kern w:val="0"/>
                <w:sz w:val="18"/>
                <w:szCs w:val="20"/>
              </w:rPr>
              <w:t>评价细则</w:t>
            </w:r>
          </w:p>
        </w:tc>
        <w:tc>
          <w:tcPr>
            <w:tcW w:w="1062" w:type="dxa"/>
            <w:noWrap w:val="0"/>
            <w:vAlign w:val="center"/>
          </w:tcPr>
          <w:p>
            <w:pPr>
              <w:jc w:val="center"/>
              <w:rPr>
                <w:rFonts w:ascii="Times New Roman" w:hAnsi="Times New Roman" w:eastAsia="黑体"/>
                <w:kern w:val="0"/>
                <w:sz w:val="18"/>
                <w:szCs w:val="20"/>
              </w:rPr>
            </w:pPr>
            <w:r>
              <w:rPr>
                <w:rFonts w:ascii="Times New Roman" w:hAnsi="Times New Roman" w:eastAsia="黑体"/>
                <w:kern w:val="0"/>
                <w:sz w:val="18"/>
                <w:szCs w:val="20"/>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noWrap w:val="0"/>
            <w:vAlign w:val="center"/>
          </w:tcPr>
          <w:p>
            <w:pPr>
              <w:jc w:val="center"/>
              <w:rPr>
                <w:rFonts w:ascii="Times New Roman" w:hAnsi="Times New Roman"/>
                <w:sz w:val="18"/>
                <w:szCs w:val="18"/>
              </w:rPr>
            </w:pPr>
            <w:r>
              <w:rPr>
                <w:rFonts w:ascii="Times New Roman" w:hAnsi="Times New Roman"/>
                <w:sz w:val="18"/>
                <w:szCs w:val="18"/>
              </w:rPr>
              <w:t>初始分</w:t>
            </w:r>
          </w:p>
          <w:p>
            <w:pPr>
              <w:jc w:val="center"/>
              <w:rPr>
                <w:rFonts w:ascii="Times New Roman" w:hAnsi="Times New Roman"/>
                <w:sz w:val="18"/>
                <w:szCs w:val="18"/>
              </w:rPr>
            </w:pPr>
            <w:r>
              <w:rPr>
                <w:rFonts w:ascii="Times New Roman" w:hAnsi="Times New Roman"/>
                <w:sz w:val="18"/>
                <w:szCs w:val="18"/>
              </w:rPr>
              <w:t>（60分）</w:t>
            </w: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获得许可并参加核验（60分）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依法取得有效《劳务派遣经营许可证》或劳务派遣分公司备案证明且依法参加劳务派遣年度经营情况核验的，初始分为60分。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restart"/>
            <w:noWrap w:val="0"/>
            <w:vAlign w:val="center"/>
          </w:tcPr>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p>
          <w:p>
            <w:pPr>
              <w:pStyle w:val="2"/>
              <w:rPr>
                <w:rFonts w:ascii="Times New Roman" w:hAnsi="Times New Roman"/>
              </w:rPr>
            </w:pPr>
          </w:p>
          <w:p>
            <w:pPr>
              <w:pStyle w:val="2"/>
              <w:rPr>
                <w:rFonts w:ascii="Times New Roman" w:hAnsi="Times New Roman"/>
              </w:rPr>
            </w:pPr>
          </w:p>
          <w:p>
            <w:pPr>
              <w:jc w:val="center"/>
              <w:rPr>
                <w:rFonts w:ascii="Times New Roman" w:hAnsi="Times New Roman"/>
                <w:sz w:val="18"/>
                <w:szCs w:val="18"/>
              </w:rPr>
            </w:pPr>
            <w:r>
              <w:rPr>
                <w:rFonts w:ascii="Times New Roman" w:hAnsi="Times New Roman"/>
                <w:sz w:val="18"/>
                <w:szCs w:val="18"/>
              </w:rPr>
              <w:t>基本指标</w:t>
            </w:r>
          </w:p>
          <w:p>
            <w:pPr>
              <w:jc w:val="center"/>
              <w:rPr>
                <w:rFonts w:ascii="Times New Roman" w:hAnsi="Times New Roman"/>
                <w:sz w:val="18"/>
              </w:rPr>
            </w:pPr>
            <w:r>
              <w:rPr>
                <w:rFonts w:ascii="Times New Roman" w:hAnsi="Times New Roman"/>
                <w:sz w:val="18"/>
                <w:szCs w:val="18"/>
              </w:rPr>
              <w:t>（30分</w:t>
            </w:r>
            <w:r>
              <w:rPr>
                <w:rFonts w:ascii="Times New Roman" w:hAnsi="Times New Roman"/>
              </w:rPr>
              <w:t>）</w:t>
            </w: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spacing w:line="240" w:lineRule="exact"/>
              <w:rPr>
                <w:rFonts w:ascii="Times New Roman" w:hAnsi="Times New Roman"/>
                <w:sz w:val="18"/>
                <w:szCs w:val="18"/>
              </w:rPr>
            </w:pPr>
          </w:p>
          <w:p>
            <w:pPr>
              <w:spacing w:before="240"/>
              <w:jc w:val="center"/>
              <w:rPr>
                <w:rFonts w:ascii="Times New Roman" w:hAnsi="Times New Roman"/>
                <w:sz w:val="18"/>
                <w:szCs w:val="18"/>
              </w:rPr>
            </w:pPr>
            <w:r>
              <w:rPr>
                <w:rFonts w:ascii="Times New Roman" w:hAnsi="Times New Roman"/>
                <w:sz w:val="18"/>
                <w:szCs w:val="18"/>
              </w:rPr>
              <w:t>基本指标</w:t>
            </w:r>
          </w:p>
          <w:p>
            <w:pPr>
              <w:pStyle w:val="2"/>
              <w:jc w:val="center"/>
              <w:rPr>
                <w:rFonts w:ascii="Times New Roman" w:hAnsi="Times New Roman"/>
                <w:sz w:val="18"/>
                <w:szCs w:val="18"/>
              </w:rPr>
            </w:pPr>
            <w:r>
              <w:rPr>
                <w:rFonts w:ascii="Times New Roman" w:hAnsi="Times New Roman"/>
                <w:sz w:val="18"/>
                <w:szCs w:val="18"/>
              </w:rPr>
              <w:t>（30分）</w:t>
            </w: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经营行业（5分）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主营业务是劳务派遣的，得5分。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人员配备（3分）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公司拥有持有劳动关系协调、劳动人事争议调解或人力资源资格等证书的专业人员，满2名的，得1分；每多１名增加１分，最多得3分。持证人员以与本公司签订劳动合同并缴纳社会保险费为准。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经营年限（4分）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实际经营劳务派遣业务年限每满3年的，得1分，累计最多不超过4分。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经营场地（3分）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经营场所为自有商业地产且面积50㎡以上不满100㎡的，得2分，100㎡以上的得3分；经营场所为租赁商业地产，租赁面积50㎡以上且租赁期限3年以上的，得1分。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注册资本（3分）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实缴资本300万元以上不满500万元的，得1分；500万元以上不满1000万元的，得2分；1000万元以上的，得3分。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党组织（2分）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设立党的基层组织的，得2分。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工会组织（2分）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依法建立工会组织的，得1分；每年至少开展工会活动2次的，得1分。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规章制度（2分）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有完善的劳务派遣管理制度，管理制度经职工代表大会或者全体职工讨论，并公示或者告知劳动者的，得2分。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信息系统（2分）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有完善的信息管理系统并通过信息管理系统进行管理的，得2分。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安全生产（1分）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建立健全安全生产规章制度、操作规程、事故应急预案等并进行演练的，得1分。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职工培训（1分）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建立培训制度，对被派遣劳动者进行上岗知识、安全教育培训的，得1分。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信息公开（1分）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在经营场所显著位置公示劳务派遣经营许可证、营业执照、服务项目、服务收费标准、公示管理制度、服务流程等的，得1分。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其他（1分）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建立服务质量体系，并通过ISO9000等质量管理体系标准认证通过的，得1分。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restart"/>
            <w:noWrap w:val="0"/>
            <w:vAlign w:val="center"/>
          </w:tcPr>
          <w:p>
            <w:pPr>
              <w:jc w:val="center"/>
              <w:rPr>
                <w:rFonts w:ascii="Times New Roman" w:hAnsi="Times New Roman"/>
                <w:sz w:val="18"/>
                <w:szCs w:val="18"/>
              </w:rPr>
            </w:pPr>
            <w:r>
              <w:rPr>
                <w:rFonts w:ascii="Times New Roman" w:hAnsi="Times New Roman"/>
                <w:sz w:val="18"/>
                <w:szCs w:val="18"/>
              </w:rPr>
              <w:t>加分指标</w:t>
            </w:r>
          </w:p>
          <w:p>
            <w:pPr>
              <w:jc w:val="center"/>
              <w:rPr>
                <w:rFonts w:ascii="Times New Roman" w:hAnsi="Times New Roman"/>
                <w:sz w:val="18"/>
                <w:szCs w:val="18"/>
              </w:rPr>
            </w:pPr>
            <w:r>
              <w:rPr>
                <w:rFonts w:ascii="Times New Roman" w:hAnsi="Times New Roman"/>
                <w:sz w:val="18"/>
                <w:szCs w:val="18"/>
              </w:rPr>
              <w:t>（70分）</w:t>
            </w:r>
          </w:p>
        </w:tc>
        <w:tc>
          <w:tcPr>
            <w:tcW w:w="1648" w:type="dxa"/>
            <w:vMerge w:val="restart"/>
            <w:noWrap w:val="0"/>
            <w:vAlign w:val="center"/>
          </w:tcPr>
          <w:p>
            <w:pPr>
              <w:rPr>
                <w:rFonts w:ascii="Times New Roman" w:hAnsi="Times New Roman"/>
                <w:sz w:val="18"/>
                <w:szCs w:val="18"/>
              </w:rPr>
            </w:pPr>
            <w:r>
              <w:rPr>
                <w:rFonts w:ascii="Times New Roman" w:hAnsi="Times New Roman"/>
                <w:sz w:val="18"/>
                <w:szCs w:val="18"/>
              </w:rPr>
              <w:t>获得表彰（30分）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获得党中央、国务院（含中办、国办）表彰的，加30分；其他国家级综合性表彰或认定先进的（人力资源社会保障部单独或联合发文），加20分。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vMerge w:val="continue"/>
            <w:noWrap w:val="0"/>
            <w:vAlign w:val="center"/>
          </w:tcPr>
          <w:p>
            <w:pPr>
              <w:jc w:val="center"/>
              <w:rPr>
                <w:rFonts w:ascii="Times New Roman" w:hAnsi="Times New Roman"/>
                <w:sz w:val="18"/>
                <w:szCs w:val="18"/>
              </w:rPr>
            </w:pP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获得省委、省政府（含两办）表彰的，加20分；其他省级综合性表彰或认定先进的（省人力资源社会保障厅单独或联合发文），加10分。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vMerge w:val="continue"/>
            <w:noWrap w:val="0"/>
            <w:vAlign w:val="center"/>
          </w:tcPr>
          <w:p>
            <w:pPr>
              <w:jc w:val="center"/>
              <w:rPr>
                <w:rFonts w:ascii="Times New Roman" w:hAnsi="Times New Roman"/>
                <w:sz w:val="18"/>
                <w:szCs w:val="18"/>
              </w:rPr>
            </w:pP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获得设区的市委、市政府（含两办）表彰的，加10分；其他市级综合性表彰或认定先进的（设区的市人力资源社会保障局单独或联合发文），加6分。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vMerge w:val="continue"/>
            <w:noWrap w:val="0"/>
            <w:vAlign w:val="center"/>
          </w:tcPr>
          <w:p>
            <w:pPr>
              <w:jc w:val="center"/>
              <w:rPr>
                <w:rFonts w:ascii="Times New Roman" w:hAnsi="Times New Roman"/>
                <w:sz w:val="18"/>
                <w:szCs w:val="18"/>
              </w:rPr>
            </w:pP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获得县（市、区）委、县（市、区）政府（含两办）表彰的，加6分；其他县级综合性表彰或认定先进的[县（市、区）人力资源社会保障局单独或联合发文]，加3分。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和谐劳动关系</w:t>
            </w:r>
          </w:p>
          <w:p>
            <w:pPr>
              <w:jc w:val="center"/>
              <w:rPr>
                <w:rFonts w:ascii="Times New Roman" w:hAnsi="Times New Roman"/>
                <w:sz w:val="18"/>
                <w:szCs w:val="18"/>
              </w:rPr>
            </w:pPr>
            <w:r>
              <w:rPr>
                <w:rFonts w:ascii="Times New Roman" w:hAnsi="Times New Roman"/>
                <w:sz w:val="18"/>
                <w:szCs w:val="18"/>
              </w:rPr>
              <w:t>建设（30分）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被认定为和谐劳动关系企业，国家级的，加30分；省级的，加20分；市级的，加10分；县级的，加5分。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协调机制（2分）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建立劳动争议调解组织的，加2分。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人才培养（2分）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在评价周期内，培养出持有高级工及以上职业资格（职业技能等级）或中级及以上专业技术资格证书的技术技能人才，加2分。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保障用工需求</w:t>
            </w:r>
          </w:p>
          <w:p>
            <w:pPr>
              <w:jc w:val="center"/>
              <w:rPr>
                <w:rFonts w:ascii="Times New Roman" w:hAnsi="Times New Roman"/>
                <w:sz w:val="18"/>
                <w:szCs w:val="18"/>
              </w:rPr>
            </w:pPr>
            <w:r>
              <w:rPr>
                <w:rFonts w:ascii="Times New Roman" w:hAnsi="Times New Roman"/>
                <w:sz w:val="18"/>
                <w:szCs w:val="18"/>
              </w:rPr>
              <w:t>（6分）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在评价周期内组织输入外省户籍劳动力在苏稳定就业人数、且在本单位连续参保缴费3个月以上，200人以上不满500人的，加2分；500人以上不满1000人的，加4分；1000人以上的，加6分。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restart"/>
            <w:noWrap w:val="0"/>
            <w:vAlign w:val="center"/>
          </w:tcPr>
          <w:p>
            <w:pPr>
              <w:jc w:val="center"/>
              <w:rPr>
                <w:rFonts w:ascii="Times New Roman" w:hAnsi="Times New Roman"/>
                <w:sz w:val="18"/>
              </w:rPr>
            </w:pPr>
          </w:p>
          <w:p>
            <w:pPr>
              <w:jc w:val="center"/>
              <w:rPr>
                <w:rFonts w:ascii="Times New Roman" w:hAnsi="Times New Roman"/>
                <w:sz w:val="18"/>
              </w:rPr>
            </w:pPr>
          </w:p>
          <w:p>
            <w:pPr>
              <w:jc w:val="center"/>
              <w:rPr>
                <w:rFonts w:ascii="Times New Roman" w:hAnsi="Times New Roman"/>
                <w:sz w:val="18"/>
              </w:rPr>
            </w:pPr>
          </w:p>
          <w:p>
            <w:pPr>
              <w:pStyle w:val="2"/>
              <w:rPr>
                <w:rFonts w:ascii="Times New Roman" w:hAnsi="Times New Roman"/>
              </w:rPr>
            </w:pPr>
          </w:p>
          <w:p>
            <w:pPr>
              <w:jc w:val="center"/>
              <w:rPr>
                <w:rFonts w:ascii="Times New Roman" w:hAnsi="Times New Roman"/>
                <w:sz w:val="18"/>
                <w:szCs w:val="18"/>
              </w:rPr>
            </w:pPr>
            <w:r>
              <w:rPr>
                <w:rFonts w:ascii="Times New Roman" w:hAnsi="Times New Roman"/>
                <w:sz w:val="18"/>
                <w:szCs w:val="18"/>
              </w:rPr>
              <w:t>减分指标</w:t>
            </w:r>
          </w:p>
          <w:p>
            <w:pPr>
              <w:jc w:val="center"/>
              <w:rPr>
                <w:rFonts w:ascii="Times New Roman" w:hAnsi="Times New Roman"/>
                <w:sz w:val="18"/>
              </w:rPr>
            </w:pPr>
            <w:r>
              <w:rPr>
                <w:rFonts w:ascii="Times New Roman" w:hAnsi="Times New Roman"/>
                <w:sz w:val="18"/>
                <w:szCs w:val="18"/>
              </w:rPr>
              <w:t>（160分）</w:t>
            </w: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pStyle w:val="2"/>
              <w:rPr>
                <w:rFonts w:ascii="Times New Roman" w:hAnsi="Times New Roman"/>
                <w:sz w:val="18"/>
                <w:szCs w:val="18"/>
              </w:rPr>
            </w:pPr>
          </w:p>
          <w:p>
            <w:pPr>
              <w:jc w:val="center"/>
              <w:rPr>
                <w:rFonts w:ascii="Times New Roman" w:hAnsi="Times New Roman"/>
                <w:sz w:val="18"/>
                <w:szCs w:val="18"/>
              </w:rPr>
            </w:pPr>
            <w:r>
              <w:rPr>
                <w:rFonts w:ascii="Times New Roman" w:hAnsi="Times New Roman"/>
                <w:sz w:val="18"/>
                <w:szCs w:val="18"/>
              </w:rPr>
              <w:t>减分指标</w:t>
            </w:r>
          </w:p>
          <w:p>
            <w:pPr>
              <w:pStyle w:val="2"/>
              <w:rPr>
                <w:rFonts w:ascii="Times New Roman" w:hAnsi="Times New Roman"/>
                <w:sz w:val="18"/>
                <w:szCs w:val="18"/>
              </w:rPr>
            </w:pPr>
            <w:r>
              <w:rPr>
                <w:rFonts w:ascii="Times New Roman" w:hAnsi="Times New Roman"/>
                <w:sz w:val="18"/>
                <w:szCs w:val="18"/>
              </w:rPr>
              <w:t>（160分）</w:t>
            </w: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抽逃资本（10分）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抽逃注册资本的，扣10分。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虚报注册</w:t>
            </w:r>
          </w:p>
          <w:p>
            <w:pPr>
              <w:jc w:val="center"/>
              <w:rPr>
                <w:rFonts w:ascii="Times New Roman" w:hAnsi="Times New Roman"/>
                <w:sz w:val="18"/>
                <w:szCs w:val="18"/>
              </w:rPr>
            </w:pPr>
            <w:r>
              <w:rPr>
                <w:rFonts w:ascii="Times New Roman" w:hAnsi="Times New Roman"/>
                <w:sz w:val="18"/>
                <w:szCs w:val="18"/>
              </w:rPr>
              <w:t>资本（5分）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实缴资本与注册资本不一致的，扣5分。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虚开发票（10分）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虚开劳务派遣方面发票的，扣10分。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业务开展（15分）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未正常开展劳务派遣业务的不得评为A级，并按照以下标准扣分：评价周期内未正常开展劳务派遣业务的，扣5分；连续两个周期内未正常开展劳务派遣业务的，扣10分；连续三个周期内未正常开展劳务派遣业务的，扣15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社保稽核（10分）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社会保险稽核中发现存在违法行为的，每次扣5分，最多扣10分。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劳动保障</w:t>
            </w:r>
          </w:p>
          <w:p>
            <w:pPr>
              <w:jc w:val="center"/>
              <w:rPr>
                <w:rFonts w:ascii="Times New Roman" w:hAnsi="Times New Roman"/>
                <w:sz w:val="18"/>
                <w:szCs w:val="18"/>
              </w:rPr>
            </w:pPr>
            <w:r>
              <w:rPr>
                <w:rFonts w:ascii="Times New Roman" w:hAnsi="Times New Roman"/>
                <w:sz w:val="18"/>
                <w:szCs w:val="18"/>
              </w:rPr>
              <w:t>监察（20分）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因劳动保障违法行为被依法行政处理处罚的，每次扣10分，最多扣20分。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注册地与经营地不一致（5分）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注册地和实际经营地不一致的，扣5分。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劳动争议</w:t>
            </w:r>
          </w:p>
          <w:p>
            <w:pPr>
              <w:jc w:val="center"/>
              <w:rPr>
                <w:rFonts w:ascii="Times New Roman" w:hAnsi="Times New Roman"/>
                <w:sz w:val="18"/>
                <w:szCs w:val="18"/>
              </w:rPr>
            </w:pPr>
            <w:r>
              <w:rPr>
                <w:rFonts w:ascii="Times New Roman" w:hAnsi="Times New Roman"/>
                <w:sz w:val="18"/>
                <w:szCs w:val="18"/>
              </w:rPr>
              <w:t>仲裁（20分）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发生集体劳动争议案件且败诉（含部分败诉）的，每件扣10分，发生非集体劳动争议案件且败诉（含部分败诉）的，每件扣5分，最多扣20分。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逾期参加年度</w:t>
            </w:r>
          </w:p>
          <w:p>
            <w:pPr>
              <w:jc w:val="center"/>
              <w:rPr>
                <w:rFonts w:ascii="Times New Roman" w:hAnsi="Times New Roman"/>
                <w:sz w:val="18"/>
                <w:szCs w:val="18"/>
              </w:rPr>
            </w:pPr>
            <w:r>
              <w:rPr>
                <w:rFonts w:ascii="Times New Roman" w:hAnsi="Times New Roman"/>
                <w:sz w:val="18"/>
                <w:szCs w:val="18"/>
              </w:rPr>
              <w:t>核验（10分）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逾期参加劳务派遣单位年度经营情况核验的，扣10分。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警示约谈（10分）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被人力资源和社会保障行政部门警示约谈的，每次扣5分，最多扣10分。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个人社保</w:t>
            </w:r>
          </w:p>
          <w:p>
            <w:pPr>
              <w:jc w:val="center"/>
              <w:rPr>
                <w:rFonts w:ascii="Times New Roman" w:hAnsi="Times New Roman"/>
                <w:sz w:val="18"/>
                <w:szCs w:val="18"/>
              </w:rPr>
            </w:pPr>
            <w:r>
              <w:rPr>
                <w:rFonts w:ascii="Times New Roman" w:hAnsi="Times New Roman"/>
                <w:sz w:val="18"/>
                <w:szCs w:val="18"/>
              </w:rPr>
              <w:t>代理（15分）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通过虚构劳动关系等手段，违法为他人办理参加社会保险手续，缴纳社会保费的，不满10人的，扣5分；10人以上不满100人的，扣10分；100人以上的，扣15分。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违法派遣（30分）</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以承揽、外包等名义实施的假外包真派遣，自派遣，派遣非全日制用工，派遣日结工等</w:t>
            </w:r>
            <w:r>
              <w:rPr>
                <w:rFonts w:ascii="Times New Roman" w:hAnsi="Times New Roman"/>
                <w:sz w:val="18"/>
                <w:szCs w:val="18"/>
                <w:lang w:eastAsia="zh-Hans"/>
              </w:rPr>
              <w:t>情形</w:t>
            </w:r>
            <w:r>
              <w:rPr>
                <w:rFonts w:ascii="Times New Roman" w:hAnsi="Times New Roman"/>
                <w:sz w:val="18"/>
                <w:szCs w:val="18"/>
              </w:rPr>
              <w:t>，每有一项扣10分，最多扣30分。</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restart"/>
            <w:noWrap w:val="0"/>
            <w:vAlign w:val="center"/>
          </w:tcPr>
          <w:p>
            <w:pPr>
              <w:jc w:val="center"/>
              <w:rPr>
                <w:rFonts w:ascii="Times New Roman" w:hAnsi="Times New Roman"/>
                <w:sz w:val="18"/>
                <w:szCs w:val="18"/>
              </w:rPr>
            </w:pPr>
            <w:r>
              <w:rPr>
                <w:rFonts w:ascii="Times New Roman" w:hAnsi="Times New Roman"/>
                <w:sz w:val="18"/>
                <w:szCs w:val="18"/>
              </w:rPr>
              <w:t>直接认定为C级</w:t>
            </w: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未参加</w:t>
            </w:r>
          </w:p>
          <w:p>
            <w:pPr>
              <w:jc w:val="center"/>
              <w:rPr>
                <w:rFonts w:ascii="Times New Roman" w:hAnsi="Times New Roman"/>
                <w:sz w:val="18"/>
                <w:szCs w:val="18"/>
              </w:rPr>
            </w:pPr>
            <w:r>
              <w:rPr>
                <w:rFonts w:ascii="Times New Roman" w:hAnsi="Times New Roman"/>
                <w:sz w:val="18"/>
                <w:szCs w:val="18"/>
              </w:rPr>
              <w:t>年度核验</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不参加劳务派遣单位年度经营情况核验，或提供虚假材料参加劳务派遣单位年度经营情况核验，或年度经营情况核验不合格的。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违法派遣行业</w:t>
            </w:r>
          </w:p>
          <w:p>
            <w:pPr>
              <w:jc w:val="center"/>
              <w:rPr>
                <w:rFonts w:ascii="Times New Roman" w:hAnsi="Times New Roman"/>
                <w:sz w:val="18"/>
                <w:szCs w:val="18"/>
              </w:rPr>
            </w:pPr>
            <w:r>
              <w:rPr>
                <w:rFonts w:ascii="Times New Roman" w:hAnsi="Times New Roman"/>
                <w:sz w:val="18"/>
                <w:szCs w:val="18"/>
              </w:rPr>
              <w:t>或岗位</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向专职消防员、煤矿井下、涉密、核心技术等安全生产岗位和煤炭、非煤矿山、化工等行业开展劳务派遣业务的。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虚假获证</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隐瞒真实情况或提供虚假材料取得《劳务派遣经营许可证》的。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非法转让</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存在涂改、倒卖、出租、出借或者以其他形式非法转让经营劳务派遣业务资质的。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不良信用</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单位被列为失信执行人等严重失信主体名单的。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安全事故</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发生重大及以上安全生产事故的。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不良社会</w:t>
            </w:r>
          </w:p>
          <w:p>
            <w:pPr>
              <w:jc w:val="center"/>
              <w:rPr>
                <w:rFonts w:ascii="Times New Roman" w:hAnsi="Times New Roman"/>
                <w:sz w:val="18"/>
                <w:szCs w:val="18"/>
              </w:rPr>
            </w:pPr>
            <w:r>
              <w:rPr>
                <w:rFonts w:ascii="Times New Roman" w:hAnsi="Times New Roman"/>
                <w:sz w:val="18"/>
                <w:szCs w:val="18"/>
              </w:rPr>
              <w:t>影响</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发生因单位原因引发的劳动关系领域群体性、突发性等事件，造成不良社会影响的。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146" w:type="dxa"/>
            <w:vMerge w:val="continue"/>
            <w:noWrap w:val="0"/>
            <w:vAlign w:val="center"/>
          </w:tcPr>
          <w:p>
            <w:pPr>
              <w:jc w:val="center"/>
              <w:rPr>
                <w:rFonts w:ascii="Times New Roman" w:hAnsi="Times New Roman"/>
                <w:sz w:val="18"/>
                <w:szCs w:val="18"/>
              </w:rPr>
            </w:pPr>
          </w:p>
        </w:tc>
        <w:tc>
          <w:tcPr>
            <w:tcW w:w="1648" w:type="dxa"/>
            <w:noWrap w:val="0"/>
            <w:vAlign w:val="center"/>
          </w:tcPr>
          <w:p>
            <w:pPr>
              <w:jc w:val="center"/>
              <w:rPr>
                <w:rFonts w:ascii="Times New Roman" w:hAnsi="Times New Roman"/>
                <w:sz w:val="18"/>
                <w:szCs w:val="18"/>
              </w:rPr>
            </w:pPr>
            <w:r>
              <w:rPr>
                <w:rFonts w:ascii="Times New Roman" w:hAnsi="Times New Roman"/>
                <w:sz w:val="18"/>
                <w:szCs w:val="18"/>
              </w:rPr>
              <w:t>劳动保障</w:t>
            </w:r>
          </w:p>
          <w:p>
            <w:pPr>
              <w:jc w:val="center"/>
              <w:rPr>
                <w:rFonts w:ascii="Times New Roman" w:hAnsi="Times New Roman"/>
                <w:sz w:val="18"/>
                <w:szCs w:val="18"/>
              </w:rPr>
            </w:pPr>
            <w:r>
              <w:rPr>
                <w:rFonts w:ascii="Times New Roman" w:hAnsi="Times New Roman"/>
                <w:sz w:val="18"/>
                <w:szCs w:val="18"/>
              </w:rPr>
              <w:t>违法行为</w:t>
            </w:r>
          </w:p>
        </w:tc>
        <w:tc>
          <w:tcPr>
            <w:tcW w:w="9687" w:type="dxa"/>
            <w:noWrap w:val="0"/>
            <w:vAlign w:val="center"/>
          </w:tcPr>
          <w:p>
            <w:pPr>
              <w:jc w:val="left"/>
              <w:rPr>
                <w:rFonts w:ascii="Times New Roman" w:hAnsi="Times New Roman"/>
                <w:sz w:val="18"/>
                <w:szCs w:val="18"/>
              </w:rPr>
            </w:pPr>
            <w:r>
              <w:rPr>
                <w:rFonts w:ascii="Times New Roman" w:hAnsi="Times New Roman"/>
                <w:sz w:val="18"/>
                <w:szCs w:val="18"/>
              </w:rPr>
              <w:t>因劳动保障违法行为被依法行政处理处罚三次以上（含三次）的。</w:t>
            </w:r>
          </w:p>
        </w:tc>
        <w:tc>
          <w:tcPr>
            <w:tcW w:w="1062" w:type="dxa"/>
            <w:noWrap w:val="0"/>
            <w:vAlign w:val="center"/>
          </w:tcPr>
          <w:p>
            <w:pPr>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3543" w:type="dxa"/>
            <w:gridSpan w:val="4"/>
            <w:noWrap w:val="0"/>
            <w:vAlign w:val="center"/>
          </w:tcPr>
          <w:p>
            <w:pPr>
              <w:ind w:left="360" w:hanging="360" w:hangingChars="200"/>
              <w:rPr>
                <w:rFonts w:ascii="Times New Roman" w:hAnsi="Times New Roman"/>
                <w:sz w:val="18"/>
                <w:szCs w:val="18"/>
              </w:rPr>
            </w:pPr>
            <w:r>
              <w:rPr>
                <w:rFonts w:ascii="Times New Roman" w:hAnsi="Times New Roman" w:eastAsia="方正黑体_GBK"/>
                <w:sz w:val="18"/>
                <w:szCs w:val="18"/>
              </w:rPr>
              <w:t>注：</w:t>
            </w:r>
            <w:r>
              <w:rPr>
                <w:rFonts w:ascii="Times New Roman" w:hAnsi="Times New Roman"/>
                <w:sz w:val="18"/>
                <w:szCs w:val="18"/>
              </w:rPr>
              <w:t>二级指标中“获得表彰”“和谐劳动关系建设”获得或被认定的时间为评价周期内获得或被认定，因为同一事项符合该两项同时加分的，以单项加分的最高分为准，不重复加分</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F75C6"/>
    <w:rsid w:val="7DBF75C6"/>
    <w:rsid w:val="F77EB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2025-12-24T14:04:00Z</dcterms:created>
  <dc:creator>kylin</dc:creator>
  <cp:lastModifiedBy>kylin</cp:lastModifiedBy>
  <dcterms:modified xsi:type="dcterms:W3CDTF">2025-12-24T14:07:51Z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